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01AC" w14:textId="77777777" w:rsidR="00B10750" w:rsidRPr="00E7456B" w:rsidRDefault="00B10750" w:rsidP="00B10750">
      <w:pPr>
        <w:spacing w:line="240" w:lineRule="auto"/>
        <w:jc w:val="both"/>
        <w:rPr>
          <w:rFonts w:ascii="Arial" w:hAnsi="Arial" w:cs="Arial"/>
        </w:rPr>
      </w:pPr>
      <w:r>
        <w:rPr>
          <w:rFonts w:ascii="Arial" w:hAnsi="Arial" w:cs="Arial"/>
        </w:rPr>
        <w:t xml:space="preserve">Proposed </w:t>
      </w:r>
      <w:r w:rsidRPr="00E7456B">
        <w:rPr>
          <w:rFonts w:ascii="Arial" w:hAnsi="Arial" w:cs="Arial"/>
        </w:rPr>
        <w:t xml:space="preserve">Operational Principles for Articulation Arrangements </w:t>
      </w:r>
    </w:p>
    <w:tbl>
      <w:tblPr>
        <w:tblStyle w:val="TableGrid"/>
        <w:tblW w:w="9351" w:type="dxa"/>
        <w:tblInd w:w="0" w:type="dxa"/>
        <w:tblLook w:val="04A0" w:firstRow="1" w:lastRow="0" w:firstColumn="1" w:lastColumn="0" w:noHBand="0" w:noVBand="1"/>
      </w:tblPr>
      <w:tblGrid>
        <w:gridCol w:w="9351"/>
      </w:tblGrid>
      <w:tr w:rsidR="00B10750" w:rsidRPr="00E7456B" w14:paraId="5F733241" w14:textId="77777777" w:rsidTr="007659B8">
        <w:tc>
          <w:tcPr>
            <w:tcW w:w="9351" w:type="dxa"/>
            <w:shd w:val="clear" w:color="auto" w:fill="83CAEB" w:themeFill="accent1" w:themeFillTint="66"/>
          </w:tcPr>
          <w:p w14:paraId="3D4A1E24" w14:textId="77777777" w:rsidR="00B10750" w:rsidRPr="00E7456B" w:rsidRDefault="00B10750" w:rsidP="007659B8">
            <w:pPr>
              <w:jc w:val="both"/>
              <w:rPr>
                <w:rFonts w:ascii="Arial" w:hAnsi="Arial" w:cs="Arial"/>
              </w:rPr>
            </w:pPr>
            <w:r w:rsidRPr="00E7456B">
              <w:rPr>
                <w:rFonts w:ascii="Arial" w:hAnsi="Arial" w:cs="Arial"/>
              </w:rPr>
              <w:t xml:space="preserve">Operational Principles </w:t>
            </w:r>
          </w:p>
        </w:tc>
      </w:tr>
      <w:tr w:rsidR="00B10750" w:rsidRPr="00E7456B" w14:paraId="18C8A8ED" w14:textId="77777777" w:rsidTr="007659B8">
        <w:tc>
          <w:tcPr>
            <w:tcW w:w="9351" w:type="dxa"/>
          </w:tcPr>
          <w:p w14:paraId="615BC605" w14:textId="77777777" w:rsidR="00B10750" w:rsidRPr="00E7456B" w:rsidRDefault="00B10750" w:rsidP="007659B8">
            <w:pPr>
              <w:jc w:val="both"/>
              <w:rPr>
                <w:rFonts w:ascii="Arial" w:hAnsi="Arial" w:cs="Arial"/>
              </w:rPr>
            </w:pPr>
            <w:r>
              <w:rPr>
                <w:rFonts w:ascii="Arial" w:hAnsi="Arial" w:cs="Arial"/>
              </w:rPr>
              <w:t xml:space="preserve">There is a signed Memorandum of Agreement in place before any student is admitted to the University and this sets out the agreed programmes at Queen’s and the partner institution and any required actions by both parties to support a good student experience and good student success outcomes. This will be co-ordinated by Academic Affairs. </w:t>
            </w:r>
          </w:p>
        </w:tc>
      </w:tr>
      <w:tr w:rsidR="00B10750" w:rsidRPr="00E7456B" w14:paraId="17E5BF3D" w14:textId="77777777" w:rsidTr="007659B8">
        <w:tc>
          <w:tcPr>
            <w:tcW w:w="9351" w:type="dxa"/>
          </w:tcPr>
          <w:p w14:paraId="65055048" w14:textId="77777777" w:rsidR="00B10750" w:rsidRPr="00E7456B" w:rsidRDefault="00B10750" w:rsidP="007659B8">
            <w:pPr>
              <w:jc w:val="both"/>
              <w:rPr>
                <w:rFonts w:ascii="Arial" w:hAnsi="Arial" w:cs="Arial"/>
              </w:rPr>
            </w:pPr>
            <w:r w:rsidRPr="00896183">
              <w:rPr>
                <w:rStyle w:val="ui-provider"/>
                <w:rFonts w:ascii="Arial" w:hAnsi="Arial" w:cs="Arial"/>
              </w:rPr>
              <w:t>The School Director of Education or nominee must be included in the mapping of the partner institution’s curriculum to the identified University’s programme(s) to ensure that educational quality assurance considerations are met prior to submission to School Management Board for review and endorsement.</w:t>
            </w:r>
          </w:p>
        </w:tc>
      </w:tr>
      <w:tr w:rsidR="00B10750" w:rsidRPr="00E7456B" w14:paraId="12952EB1" w14:textId="77777777" w:rsidTr="007659B8">
        <w:tc>
          <w:tcPr>
            <w:tcW w:w="9351" w:type="dxa"/>
          </w:tcPr>
          <w:p w14:paraId="63E63BE8" w14:textId="77777777" w:rsidR="00B10750" w:rsidRPr="00E7456B" w:rsidRDefault="00B10750" w:rsidP="007659B8">
            <w:pPr>
              <w:jc w:val="both"/>
              <w:rPr>
                <w:rFonts w:ascii="Arial" w:hAnsi="Arial" w:cs="Arial"/>
              </w:rPr>
            </w:pPr>
            <w:r w:rsidRPr="00896183">
              <w:rPr>
                <w:rStyle w:val="ui-provider"/>
                <w:rFonts w:ascii="Arial" w:hAnsi="Arial" w:cs="Arial"/>
              </w:rPr>
              <w:t>General Admissions criteria and good practice guidance must be observed when considering articulation requirements.</w:t>
            </w:r>
          </w:p>
        </w:tc>
      </w:tr>
      <w:tr w:rsidR="00B10750" w:rsidRPr="00E7456B" w14:paraId="57E60C3B" w14:textId="77777777" w:rsidTr="007659B8">
        <w:tc>
          <w:tcPr>
            <w:tcW w:w="9351" w:type="dxa"/>
          </w:tcPr>
          <w:p w14:paraId="002CF600" w14:textId="77777777" w:rsidR="00B10750" w:rsidRPr="00E7456B" w:rsidRDefault="00B10750" w:rsidP="007659B8">
            <w:pPr>
              <w:jc w:val="both"/>
              <w:rPr>
                <w:rFonts w:ascii="Arial" w:hAnsi="Arial" w:cs="Arial"/>
              </w:rPr>
            </w:pPr>
            <w:r>
              <w:rPr>
                <w:rFonts w:ascii="Arial" w:hAnsi="Arial" w:cs="Arial"/>
              </w:rPr>
              <w:t>E</w:t>
            </w:r>
            <w:r w:rsidRPr="00896183">
              <w:rPr>
                <w:rFonts w:ascii="Arial" w:hAnsi="Arial" w:cs="Arial"/>
              </w:rPr>
              <w:t xml:space="preserve">ndorsement </w:t>
            </w:r>
            <w:r>
              <w:rPr>
                <w:rFonts w:ascii="Arial" w:hAnsi="Arial" w:cs="Arial"/>
              </w:rPr>
              <w:t xml:space="preserve">is </w:t>
            </w:r>
            <w:r w:rsidRPr="00896183">
              <w:rPr>
                <w:rFonts w:ascii="Arial" w:hAnsi="Arial" w:cs="Arial"/>
              </w:rPr>
              <w:t>secured from the Global Risk Committee in advance of submission to the relevant Approval Authority when appropriate.</w:t>
            </w:r>
          </w:p>
        </w:tc>
      </w:tr>
      <w:tr w:rsidR="00B10750" w:rsidRPr="00E7456B" w14:paraId="3A67562C" w14:textId="77777777" w:rsidTr="007659B8">
        <w:tc>
          <w:tcPr>
            <w:tcW w:w="9351" w:type="dxa"/>
          </w:tcPr>
          <w:p w14:paraId="2F70100C" w14:textId="77777777" w:rsidR="00B10750" w:rsidRPr="00896183" w:rsidRDefault="00B10750" w:rsidP="007659B8">
            <w:pPr>
              <w:jc w:val="both"/>
              <w:rPr>
                <w:rStyle w:val="normaltextrun"/>
                <w:rFonts w:ascii="Arial" w:hAnsi="Arial" w:cs="Arial"/>
              </w:rPr>
            </w:pPr>
            <w:r w:rsidRPr="00896183">
              <w:rPr>
                <w:rStyle w:val="normaltextrun"/>
                <w:rFonts w:ascii="Arial" w:hAnsi="Arial" w:cs="Arial"/>
                <w:color w:val="000000"/>
                <w:shd w:val="clear" w:color="auto" w:fill="FFFFFF"/>
              </w:rPr>
              <w:t>Approval Authorities must</w:t>
            </w:r>
          </w:p>
          <w:p w14:paraId="792471B3" w14:textId="77777777" w:rsidR="00B10750" w:rsidRPr="00896183" w:rsidRDefault="00B10750" w:rsidP="00B10750">
            <w:pPr>
              <w:pStyle w:val="ListParagraph"/>
              <w:numPr>
                <w:ilvl w:val="0"/>
                <w:numId w:val="2"/>
              </w:numPr>
              <w:jc w:val="both"/>
              <w:rPr>
                <w:rStyle w:val="normaltextrun"/>
                <w:rFonts w:ascii="Arial" w:hAnsi="Arial" w:cs="Arial"/>
                <w:color w:val="000000"/>
                <w:shd w:val="clear" w:color="auto" w:fill="FFFFFF"/>
              </w:rPr>
            </w:pPr>
            <w:r w:rsidRPr="00896183">
              <w:rPr>
                <w:rStyle w:val="normaltextrun"/>
                <w:rFonts w:ascii="Arial" w:hAnsi="Arial" w:cs="Arial"/>
              </w:rPr>
              <w:t xml:space="preserve">Not delegate the approval process to other committees/groups. </w:t>
            </w:r>
          </w:p>
          <w:p w14:paraId="062ADBF6" w14:textId="77777777" w:rsidR="00B10750" w:rsidRPr="00896183" w:rsidRDefault="00B10750" w:rsidP="00B10750">
            <w:pPr>
              <w:pStyle w:val="ListParagraph"/>
              <w:numPr>
                <w:ilvl w:val="0"/>
                <w:numId w:val="2"/>
              </w:numPr>
              <w:jc w:val="both"/>
              <w:rPr>
                <w:rStyle w:val="eop"/>
                <w:rFonts w:ascii="Arial" w:hAnsi="Arial" w:cs="Arial"/>
                <w:color w:val="000000"/>
                <w:shd w:val="clear" w:color="auto" w:fill="FFFFFF"/>
              </w:rPr>
            </w:pPr>
            <w:r w:rsidRPr="00896183">
              <w:rPr>
                <w:rStyle w:val="normaltextrun"/>
                <w:rFonts w:ascii="Arial" w:hAnsi="Arial" w:cs="Arial"/>
              </w:rPr>
              <w:t>Ensure that paperwork is completed and submitted, and that all necessary actions – such as consultation stakeholders – have been completed. </w:t>
            </w:r>
          </w:p>
          <w:p w14:paraId="354530A1" w14:textId="77777777" w:rsidR="00B10750" w:rsidRPr="00E7456B" w:rsidRDefault="00B10750" w:rsidP="007659B8">
            <w:pPr>
              <w:jc w:val="both"/>
              <w:rPr>
                <w:rFonts w:ascii="Arial" w:hAnsi="Arial" w:cs="Arial"/>
              </w:rPr>
            </w:pPr>
            <w:r w:rsidRPr="00896183">
              <w:rPr>
                <w:rStyle w:val="normaltextrun"/>
                <w:rFonts w:ascii="Arial" w:hAnsi="Arial" w:cs="Arial"/>
              </w:rPr>
              <w:t>The rationale behind the decision should be documented in the minutes of the Approval Authority.</w:t>
            </w:r>
            <w:r w:rsidRPr="00896183">
              <w:rPr>
                <w:rStyle w:val="eop"/>
                <w:rFonts w:ascii="Arial" w:hAnsi="Arial" w:cs="Arial"/>
              </w:rPr>
              <w:t> </w:t>
            </w:r>
          </w:p>
        </w:tc>
      </w:tr>
      <w:tr w:rsidR="00B10750" w:rsidRPr="00E7456B" w14:paraId="2335C83E" w14:textId="77777777" w:rsidTr="007659B8">
        <w:tc>
          <w:tcPr>
            <w:tcW w:w="9351" w:type="dxa"/>
          </w:tcPr>
          <w:p w14:paraId="2961ACFA" w14:textId="77777777" w:rsidR="00B10750" w:rsidRPr="00E7456B" w:rsidRDefault="00B10750" w:rsidP="007659B8">
            <w:pPr>
              <w:jc w:val="both"/>
              <w:rPr>
                <w:rFonts w:ascii="Arial" w:hAnsi="Arial" w:cs="Arial"/>
              </w:rPr>
            </w:pPr>
            <w:r w:rsidRPr="00896183">
              <w:rPr>
                <w:rFonts w:ascii="Arial" w:hAnsi="Arial" w:cs="Arial"/>
              </w:rPr>
              <w:t xml:space="preserve">That the </w:t>
            </w:r>
            <w:r>
              <w:rPr>
                <w:rFonts w:ascii="Arial" w:hAnsi="Arial" w:cs="Arial"/>
              </w:rPr>
              <w:t xml:space="preserve">documentation demonstrates </w:t>
            </w:r>
            <w:r w:rsidRPr="00896183">
              <w:rPr>
                <w:rFonts w:ascii="Arial" w:hAnsi="Arial" w:cs="Arial"/>
              </w:rPr>
              <w:t>align</w:t>
            </w:r>
            <w:r>
              <w:rPr>
                <w:rFonts w:ascii="Arial" w:hAnsi="Arial" w:cs="Arial"/>
              </w:rPr>
              <w:t xml:space="preserve">ment with </w:t>
            </w:r>
            <w:r w:rsidRPr="00896183">
              <w:rPr>
                <w:rFonts w:ascii="Arial" w:hAnsi="Arial" w:cs="Arial"/>
              </w:rPr>
              <w:t>the University’s Regulations and other required compliance and procedural framework</w:t>
            </w:r>
            <w:r>
              <w:rPr>
                <w:rFonts w:ascii="Arial" w:hAnsi="Arial" w:cs="Arial"/>
              </w:rPr>
              <w:t>s</w:t>
            </w:r>
            <w:r w:rsidRPr="00896183">
              <w:rPr>
                <w:rFonts w:ascii="Arial" w:hAnsi="Arial" w:cs="Arial"/>
              </w:rPr>
              <w:t xml:space="preserve"> and that relevant stakeholders such as Admissions, Finance, Student Records. Information Compliance and Immigration</w:t>
            </w:r>
            <w:r>
              <w:rPr>
                <w:rFonts w:ascii="Arial" w:hAnsi="Arial" w:cs="Arial"/>
              </w:rPr>
              <w:t xml:space="preserve"> Support</w:t>
            </w:r>
            <w:r w:rsidRPr="00896183">
              <w:rPr>
                <w:rFonts w:ascii="Arial" w:hAnsi="Arial" w:cs="Arial"/>
              </w:rPr>
              <w:t xml:space="preserve"> Services as appropriate are consulted</w:t>
            </w:r>
            <w:r>
              <w:rPr>
                <w:rFonts w:ascii="Arial" w:hAnsi="Arial" w:cs="Arial"/>
              </w:rPr>
              <w:t xml:space="preserve"> in the development of the Memorandum of Agreement</w:t>
            </w:r>
            <w:r w:rsidRPr="00896183">
              <w:rPr>
                <w:rFonts w:ascii="Arial" w:hAnsi="Arial" w:cs="Arial"/>
              </w:rPr>
              <w:t xml:space="preserve">. </w:t>
            </w:r>
          </w:p>
        </w:tc>
      </w:tr>
      <w:tr w:rsidR="00B10750" w:rsidRPr="00E7456B" w14:paraId="48079B04" w14:textId="77777777" w:rsidTr="007659B8">
        <w:tc>
          <w:tcPr>
            <w:tcW w:w="9351" w:type="dxa"/>
          </w:tcPr>
          <w:p w14:paraId="614FA8B2" w14:textId="77777777" w:rsidR="00B10750" w:rsidRPr="00E7456B" w:rsidRDefault="00B10750" w:rsidP="007659B8">
            <w:pPr>
              <w:jc w:val="both"/>
              <w:rPr>
                <w:rFonts w:ascii="Arial" w:hAnsi="Arial" w:cs="Arial"/>
              </w:rPr>
            </w:pPr>
            <w:r w:rsidRPr="00896183">
              <w:rPr>
                <w:rFonts w:ascii="Arial" w:hAnsi="Arial" w:cs="Arial"/>
              </w:rPr>
              <w:t xml:space="preserve">Anticipated programme changes at Queen’s or the partner institution that could lead to revisions of signed articulation agreements are communicated in a timely manner </w:t>
            </w:r>
            <w:proofErr w:type="gramStart"/>
            <w:r w:rsidRPr="00896183">
              <w:rPr>
                <w:rFonts w:ascii="Arial" w:hAnsi="Arial" w:cs="Arial"/>
              </w:rPr>
              <w:t>in order to</w:t>
            </w:r>
            <w:proofErr w:type="gramEnd"/>
            <w:r w:rsidRPr="00896183">
              <w:rPr>
                <w:rFonts w:ascii="Arial" w:hAnsi="Arial" w:cs="Arial"/>
              </w:rPr>
              <w:t xml:space="preserve"> facilitate any required review of the articulation agreement are communicated in a timely manner.</w:t>
            </w:r>
          </w:p>
        </w:tc>
      </w:tr>
      <w:tr w:rsidR="00B10750" w:rsidRPr="00E7456B" w14:paraId="3F26C0E6" w14:textId="77777777" w:rsidTr="007659B8">
        <w:tc>
          <w:tcPr>
            <w:tcW w:w="9351" w:type="dxa"/>
          </w:tcPr>
          <w:p w14:paraId="66D2C6F0" w14:textId="77777777" w:rsidR="00B10750" w:rsidRPr="00E7456B" w:rsidRDefault="00B10750" w:rsidP="007659B8">
            <w:pPr>
              <w:jc w:val="both"/>
              <w:rPr>
                <w:rFonts w:ascii="Arial" w:hAnsi="Arial" w:cs="Arial"/>
              </w:rPr>
            </w:pPr>
            <w:r w:rsidRPr="00896183">
              <w:rPr>
                <w:rFonts w:ascii="Arial" w:hAnsi="Arial" w:cs="Arial"/>
              </w:rPr>
              <w:t>That appropriate pre-entry and on-entry academic and student welcome programmes are put in place to support students and ensure their success.</w:t>
            </w:r>
          </w:p>
        </w:tc>
      </w:tr>
      <w:tr w:rsidR="00B10750" w:rsidRPr="00E7456B" w14:paraId="74620BA2" w14:textId="77777777" w:rsidTr="007659B8">
        <w:tc>
          <w:tcPr>
            <w:tcW w:w="9351" w:type="dxa"/>
          </w:tcPr>
          <w:p w14:paraId="4CC31DFB" w14:textId="77777777" w:rsidR="00B10750" w:rsidRPr="00E7456B" w:rsidRDefault="00B10750" w:rsidP="007659B8">
            <w:pPr>
              <w:jc w:val="both"/>
              <w:rPr>
                <w:rFonts w:ascii="Arial" w:hAnsi="Arial" w:cs="Arial"/>
              </w:rPr>
            </w:pPr>
            <w:r w:rsidRPr="00896183">
              <w:rPr>
                <w:rFonts w:ascii="Arial" w:hAnsi="Arial" w:cs="Arial"/>
              </w:rPr>
              <w:t>That focus groups are conducted with articulating students within a School/Faculty to identify any additional academic or on</w:t>
            </w:r>
            <w:r>
              <w:rPr>
                <w:rFonts w:ascii="Arial" w:hAnsi="Arial" w:cs="Arial"/>
              </w:rPr>
              <w:t>-</w:t>
            </w:r>
            <w:r w:rsidRPr="00896183">
              <w:rPr>
                <w:rFonts w:ascii="Arial" w:hAnsi="Arial" w:cs="Arial"/>
              </w:rPr>
              <w:t xml:space="preserve">boarding support requirements. </w:t>
            </w:r>
          </w:p>
        </w:tc>
      </w:tr>
      <w:tr w:rsidR="00B10750" w:rsidRPr="00E7456B" w14:paraId="78455B17" w14:textId="77777777" w:rsidTr="007659B8">
        <w:trPr>
          <w:trHeight w:val="1022"/>
        </w:trPr>
        <w:tc>
          <w:tcPr>
            <w:tcW w:w="9351" w:type="dxa"/>
          </w:tcPr>
          <w:p w14:paraId="706543CE" w14:textId="77777777" w:rsidR="00B10750" w:rsidRPr="00E7456B" w:rsidRDefault="00B10750" w:rsidP="007659B8">
            <w:pPr>
              <w:jc w:val="both"/>
              <w:rPr>
                <w:rFonts w:ascii="Arial" w:hAnsi="Arial" w:cs="Arial"/>
              </w:rPr>
            </w:pPr>
            <w:r w:rsidRPr="00896183">
              <w:rPr>
                <w:rFonts w:ascii="Arial" w:hAnsi="Arial" w:cs="Arial"/>
              </w:rPr>
              <w:t xml:space="preserve">The approval authority for the business case for a </w:t>
            </w:r>
            <w:proofErr w:type="gramStart"/>
            <w:r w:rsidRPr="00896183">
              <w:rPr>
                <w:rFonts w:ascii="Arial" w:hAnsi="Arial" w:cs="Arial"/>
              </w:rPr>
              <w:t>new/renewal articulation agreement rests</w:t>
            </w:r>
            <w:proofErr w:type="gramEnd"/>
            <w:r w:rsidRPr="00896183">
              <w:rPr>
                <w:rFonts w:ascii="Arial" w:hAnsi="Arial" w:cs="Arial"/>
              </w:rPr>
              <w:t xml:space="preserve"> with the Faculty in which the relevant School is based. </w:t>
            </w:r>
          </w:p>
          <w:p w14:paraId="77E71CB6" w14:textId="77777777" w:rsidR="00B10750" w:rsidRPr="00E7456B" w:rsidRDefault="00B10750" w:rsidP="007659B8">
            <w:pPr>
              <w:jc w:val="both"/>
              <w:rPr>
                <w:rFonts w:ascii="Arial" w:hAnsi="Arial" w:cs="Arial"/>
              </w:rPr>
            </w:pPr>
            <w:r w:rsidRPr="00896183">
              <w:rPr>
                <w:rFonts w:ascii="Arial" w:hAnsi="Arial" w:cs="Arial"/>
              </w:rPr>
              <w:t xml:space="preserve">Where an articulation agreement spans more than one Faculty, all of the </w:t>
            </w:r>
            <w:proofErr w:type="gramStart"/>
            <w:r w:rsidRPr="00896183">
              <w:rPr>
                <w:rFonts w:ascii="Arial" w:hAnsi="Arial" w:cs="Arial"/>
              </w:rPr>
              <w:t>Faculties</w:t>
            </w:r>
            <w:proofErr w:type="gramEnd"/>
            <w:r w:rsidRPr="00896183">
              <w:rPr>
                <w:rFonts w:ascii="Arial" w:hAnsi="Arial" w:cs="Arial"/>
              </w:rPr>
              <w:t xml:space="preserve"> involved must approve the business case.</w:t>
            </w:r>
          </w:p>
        </w:tc>
      </w:tr>
      <w:tr w:rsidR="00B10750" w:rsidRPr="00E7456B" w14:paraId="3DAFE2EC" w14:textId="77777777" w:rsidTr="007659B8">
        <w:tc>
          <w:tcPr>
            <w:tcW w:w="9351" w:type="dxa"/>
          </w:tcPr>
          <w:p w14:paraId="17C46DA1" w14:textId="77777777" w:rsidR="00B10750" w:rsidRPr="00896183" w:rsidRDefault="00B10750" w:rsidP="007659B8">
            <w:pPr>
              <w:jc w:val="both"/>
              <w:rPr>
                <w:rFonts w:ascii="Arial" w:hAnsi="Arial" w:cs="Arial"/>
              </w:rPr>
            </w:pPr>
            <w:r w:rsidRPr="00896183">
              <w:rPr>
                <w:rFonts w:ascii="Arial" w:hAnsi="Arial" w:cs="Arial"/>
              </w:rPr>
              <w:t xml:space="preserve">The business case should address </w:t>
            </w:r>
            <w:proofErr w:type="gramStart"/>
            <w:r w:rsidRPr="00896183">
              <w:rPr>
                <w:rFonts w:ascii="Arial" w:hAnsi="Arial" w:cs="Arial"/>
              </w:rPr>
              <w:t>all of</w:t>
            </w:r>
            <w:proofErr w:type="gramEnd"/>
            <w:r w:rsidRPr="00896183">
              <w:rPr>
                <w:rFonts w:ascii="Arial" w:hAnsi="Arial" w:cs="Arial"/>
              </w:rPr>
              <w:t xml:space="preserve"> the following factors:</w:t>
            </w:r>
          </w:p>
          <w:p w14:paraId="65AE7F18" w14:textId="77777777" w:rsidR="00B10750" w:rsidRPr="002B561F" w:rsidRDefault="00B10750" w:rsidP="00B10750">
            <w:pPr>
              <w:numPr>
                <w:ilvl w:val="0"/>
                <w:numId w:val="1"/>
              </w:numPr>
              <w:jc w:val="both"/>
              <w:rPr>
                <w:rFonts w:ascii="Arial" w:hAnsi="Arial" w:cs="Arial"/>
              </w:rPr>
            </w:pPr>
            <w:r w:rsidRPr="002B561F">
              <w:rPr>
                <w:rFonts w:ascii="Arial" w:hAnsi="Arial" w:cs="Arial"/>
              </w:rPr>
              <w:t xml:space="preserve">Realistic and evidenced projection of student numbers for new arrangements and analysis of updated costs for the renewal of existing arrangements </w:t>
            </w:r>
          </w:p>
          <w:p w14:paraId="724EB21A" w14:textId="77777777" w:rsidR="00B10750" w:rsidRPr="002B561F" w:rsidRDefault="00B10750" w:rsidP="00B10750">
            <w:pPr>
              <w:numPr>
                <w:ilvl w:val="0"/>
                <w:numId w:val="1"/>
              </w:numPr>
              <w:jc w:val="both"/>
              <w:rPr>
                <w:rFonts w:ascii="Arial" w:hAnsi="Arial" w:cs="Arial"/>
              </w:rPr>
            </w:pPr>
            <w:r w:rsidRPr="002B561F">
              <w:rPr>
                <w:rFonts w:ascii="Arial" w:hAnsi="Arial" w:cs="Arial"/>
              </w:rPr>
              <w:t>Any fees payable to the partner</w:t>
            </w:r>
          </w:p>
          <w:p w14:paraId="50138F59" w14:textId="77777777" w:rsidR="00B10750" w:rsidRPr="002B561F" w:rsidRDefault="00B10750" w:rsidP="00B10750">
            <w:pPr>
              <w:numPr>
                <w:ilvl w:val="0"/>
                <w:numId w:val="1"/>
              </w:numPr>
              <w:jc w:val="both"/>
              <w:rPr>
                <w:rFonts w:ascii="Arial" w:hAnsi="Arial" w:cs="Arial"/>
              </w:rPr>
            </w:pPr>
            <w:r w:rsidRPr="002B561F">
              <w:rPr>
                <w:rFonts w:ascii="Arial" w:hAnsi="Arial" w:cs="Arial"/>
              </w:rPr>
              <w:t>Any fee discounts or other financial incentives for students to proceed through the link</w:t>
            </w:r>
          </w:p>
          <w:p w14:paraId="196F2592" w14:textId="77777777" w:rsidR="00B10750" w:rsidRPr="002B561F" w:rsidRDefault="00B10750" w:rsidP="00B10750">
            <w:pPr>
              <w:numPr>
                <w:ilvl w:val="0"/>
                <w:numId w:val="1"/>
              </w:numPr>
              <w:jc w:val="both"/>
              <w:rPr>
                <w:rFonts w:ascii="Arial" w:hAnsi="Arial" w:cs="Arial"/>
              </w:rPr>
            </w:pPr>
            <w:r w:rsidRPr="002B561F">
              <w:rPr>
                <w:rFonts w:ascii="Arial" w:hAnsi="Arial" w:cs="Arial"/>
              </w:rPr>
              <w:t>Costs associated with maintaining the relationship, such as visits to the partner or associated marketing costs.</w:t>
            </w:r>
          </w:p>
          <w:p w14:paraId="58011C84" w14:textId="77777777" w:rsidR="00B10750" w:rsidRPr="000C17A5" w:rsidRDefault="00B10750" w:rsidP="00B10750">
            <w:pPr>
              <w:pStyle w:val="ListParagraph"/>
              <w:numPr>
                <w:ilvl w:val="0"/>
                <w:numId w:val="3"/>
              </w:numPr>
              <w:jc w:val="both"/>
              <w:rPr>
                <w:rFonts w:ascii="Arial" w:hAnsi="Arial" w:cs="Arial"/>
              </w:rPr>
            </w:pPr>
            <w:r w:rsidRPr="002B561F">
              <w:rPr>
                <w:rFonts w:ascii="Arial" w:hAnsi="Arial" w:cs="Arial"/>
              </w:rPr>
              <w:t xml:space="preserve">Operational costs including School and Faculty specific student support mechanisms. </w:t>
            </w:r>
          </w:p>
        </w:tc>
      </w:tr>
      <w:tr w:rsidR="00B10750" w:rsidRPr="00E7456B" w14:paraId="0AD1A56E" w14:textId="77777777" w:rsidTr="007659B8">
        <w:tc>
          <w:tcPr>
            <w:tcW w:w="9351" w:type="dxa"/>
          </w:tcPr>
          <w:p w14:paraId="1FA151F3" w14:textId="77777777" w:rsidR="00B10750" w:rsidRPr="00E7456B" w:rsidRDefault="00B10750" w:rsidP="007659B8">
            <w:pPr>
              <w:jc w:val="both"/>
              <w:rPr>
                <w:rFonts w:ascii="Arial" w:hAnsi="Arial" w:cs="Arial"/>
              </w:rPr>
            </w:pPr>
            <w:r>
              <w:rPr>
                <w:rFonts w:ascii="Arial" w:hAnsi="Arial" w:cs="Arial"/>
              </w:rPr>
              <w:t>That a University Co-ordinator is appointed to oversee the arrangement and that appropriate partnership management processes are established where a partnership is intra/inter-Faculty.</w:t>
            </w:r>
          </w:p>
        </w:tc>
      </w:tr>
    </w:tbl>
    <w:p w14:paraId="27C431BF" w14:textId="77777777" w:rsidR="00B10750" w:rsidRPr="00E7456B" w:rsidRDefault="00B10750" w:rsidP="00B10750">
      <w:pPr>
        <w:spacing w:after="0" w:line="240" w:lineRule="auto"/>
        <w:ind w:left="709"/>
        <w:jc w:val="both"/>
        <w:rPr>
          <w:rFonts w:ascii="Arial" w:hAnsi="Arial" w:cs="Arial"/>
        </w:rPr>
      </w:pPr>
    </w:p>
    <w:p w14:paraId="3D919D96" w14:textId="77777777" w:rsidR="003A6FE9" w:rsidRDefault="003A6FE9"/>
    <w:sectPr w:rsidR="003A6FE9" w:rsidSect="00B10750">
      <w:headerReference w:type="default" r:id="rId5"/>
      <w:footerReference w:type="default" r:id="rId6"/>
      <w:footerReference w:type="first" r:id="rId7"/>
      <w:pgSz w:w="11906" w:h="16838"/>
      <w:pgMar w:top="1418"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856071"/>
      <w:docPartObj>
        <w:docPartGallery w:val="Page Numbers (Bottom of Page)"/>
        <w:docPartUnique/>
      </w:docPartObj>
    </w:sdtPr>
    <w:sdtEndPr>
      <w:rPr>
        <w:noProof/>
      </w:rPr>
    </w:sdtEndPr>
    <w:sdtContent>
      <w:p w14:paraId="062E6FD6" w14:textId="77777777" w:rsidR="00B10750" w:rsidRDefault="00B1075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E850629" w14:textId="77777777" w:rsidR="00B10750" w:rsidRDefault="00B10750" w:rsidP="2320E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316864"/>
      <w:docPartObj>
        <w:docPartGallery w:val="Page Numbers (Bottom of Page)"/>
        <w:docPartUnique/>
      </w:docPartObj>
    </w:sdtPr>
    <w:sdtEndPr>
      <w:rPr>
        <w:noProof/>
      </w:rPr>
    </w:sdtEndPr>
    <w:sdtContent>
      <w:p w14:paraId="08B43932" w14:textId="77777777" w:rsidR="00B10750" w:rsidRDefault="00B10750">
        <w:pPr>
          <w:pStyle w:val="Footer"/>
          <w:jc w:val="center"/>
        </w:pPr>
      </w:p>
    </w:sdtContent>
  </w:sdt>
  <w:p w14:paraId="0502F3D5" w14:textId="77777777" w:rsidR="00B10750" w:rsidRDefault="00B1075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CF5C3B" w14:paraId="41A23060" w14:textId="77777777" w:rsidTr="2320E1D3">
      <w:trPr>
        <w:trHeight w:val="300"/>
      </w:trPr>
      <w:tc>
        <w:tcPr>
          <w:tcW w:w="3005" w:type="dxa"/>
        </w:tcPr>
        <w:p w14:paraId="2CB53C7D" w14:textId="77777777" w:rsidR="00B10750" w:rsidRDefault="00B10750" w:rsidP="2320E1D3">
          <w:pPr>
            <w:pStyle w:val="Header"/>
            <w:ind w:left="-115"/>
          </w:pPr>
        </w:p>
      </w:tc>
      <w:tc>
        <w:tcPr>
          <w:tcW w:w="3005" w:type="dxa"/>
        </w:tcPr>
        <w:p w14:paraId="3FDE418E" w14:textId="77777777" w:rsidR="00B10750" w:rsidRDefault="00B10750" w:rsidP="009B7F73">
          <w:pPr>
            <w:pStyle w:val="Header"/>
            <w:tabs>
              <w:tab w:val="left" w:pos="142"/>
            </w:tabs>
          </w:pPr>
        </w:p>
      </w:tc>
      <w:tc>
        <w:tcPr>
          <w:tcW w:w="3005" w:type="dxa"/>
        </w:tcPr>
        <w:p w14:paraId="4C85BCA0" w14:textId="77777777" w:rsidR="00B10750" w:rsidRPr="009B7F73" w:rsidRDefault="00B10750" w:rsidP="009B7F73">
          <w:pPr>
            <w:pStyle w:val="Header"/>
            <w:tabs>
              <w:tab w:val="left" w:pos="142"/>
            </w:tabs>
            <w:jc w:val="right"/>
            <w:rPr>
              <w:rFonts w:ascii="Arial" w:hAnsi="Arial" w:cs="Arial"/>
            </w:rPr>
          </w:pPr>
        </w:p>
      </w:tc>
    </w:tr>
  </w:tbl>
  <w:p w14:paraId="06269C15" w14:textId="77777777" w:rsidR="00B10750" w:rsidRDefault="00B10750" w:rsidP="2320E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17F"/>
    <w:multiLevelType w:val="hybridMultilevel"/>
    <w:tmpl w:val="853CBDC2"/>
    <w:lvl w:ilvl="0" w:tplc="08090001">
      <w:start w:val="1"/>
      <w:numFmt w:val="bullet"/>
      <w:lvlText w:val=""/>
      <w:lvlJc w:val="left"/>
      <w:pPr>
        <w:tabs>
          <w:tab w:val="num" w:pos="360"/>
        </w:tabs>
        <w:ind w:left="360" w:hanging="360"/>
      </w:pPr>
      <w:rPr>
        <w:rFonts w:ascii="Symbol" w:hAnsi="Symbol" w:hint="default"/>
      </w:rPr>
    </w:lvl>
    <w:lvl w:ilvl="1" w:tplc="E424F60C">
      <w:start w:val="146"/>
      <w:numFmt w:val="bullet"/>
      <w:lvlText w:val="•"/>
      <w:lvlJc w:val="left"/>
      <w:pPr>
        <w:tabs>
          <w:tab w:val="num" w:pos="1080"/>
        </w:tabs>
        <w:ind w:left="1080" w:hanging="360"/>
      </w:pPr>
      <w:rPr>
        <w:rFonts w:ascii="Arial" w:hAnsi="Arial" w:hint="default"/>
      </w:rPr>
    </w:lvl>
    <w:lvl w:ilvl="2" w:tplc="B972E0BA" w:tentative="1">
      <w:start w:val="1"/>
      <w:numFmt w:val="bullet"/>
      <w:lvlText w:val="•"/>
      <w:lvlJc w:val="left"/>
      <w:pPr>
        <w:tabs>
          <w:tab w:val="num" w:pos="1800"/>
        </w:tabs>
        <w:ind w:left="1800" w:hanging="360"/>
      </w:pPr>
      <w:rPr>
        <w:rFonts w:ascii="Arial" w:hAnsi="Arial" w:hint="default"/>
      </w:rPr>
    </w:lvl>
    <w:lvl w:ilvl="3" w:tplc="DE2A7E0A" w:tentative="1">
      <w:start w:val="1"/>
      <w:numFmt w:val="bullet"/>
      <w:lvlText w:val="•"/>
      <w:lvlJc w:val="left"/>
      <w:pPr>
        <w:tabs>
          <w:tab w:val="num" w:pos="2520"/>
        </w:tabs>
        <w:ind w:left="2520" w:hanging="360"/>
      </w:pPr>
      <w:rPr>
        <w:rFonts w:ascii="Arial" w:hAnsi="Arial" w:hint="default"/>
      </w:rPr>
    </w:lvl>
    <w:lvl w:ilvl="4" w:tplc="A9D878BE" w:tentative="1">
      <w:start w:val="1"/>
      <w:numFmt w:val="bullet"/>
      <w:lvlText w:val="•"/>
      <w:lvlJc w:val="left"/>
      <w:pPr>
        <w:tabs>
          <w:tab w:val="num" w:pos="3240"/>
        </w:tabs>
        <w:ind w:left="3240" w:hanging="360"/>
      </w:pPr>
      <w:rPr>
        <w:rFonts w:ascii="Arial" w:hAnsi="Arial" w:hint="default"/>
      </w:rPr>
    </w:lvl>
    <w:lvl w:ilvl="5" w:tplc="B4A4A278" w:tentative="1">
      <w:start w:val="1"/>
      <w:numFmt w:val="bullet"/>
      <w:lvlText w:val="•"/>
      <w:lvlJc w:val="left"/>
      <w:pPr>
        <w:tabs>
          <w:tab w:val="num" w:pos="3960"/>
        </w:tabs>
        <w:ind w:left="3960" w:hanging="360"/>
      </w:pPr>
      <w:rPr>
        <w:rFonts w:ascii="Arial" w:hAnsi="Arial" w:hint="default"/>
      </w:rPr>
    </w:lvl>
    <w:lvl w:ilvl="6" w:tplc="6A4E8B62" w:tentative="1">
      <w:start w:val="1"/>
      <w:numFmt w:val="bullet"/>
      <w:lvlText w:val="•"/>
      <w:lvlJc w:val="left"/>
      <w:pPr>
        <w:tabs>
          <w:tab w:val="num" w:pos="4680"/>
        </w:tabs>
        <w:ind w:left="4680" w:hanging="360"/>
      </w:pPr>
      <w:rPr>
        <w:rFonts w:ascii="Arial" w:hAnsi="Arial" w:hint="default"/>
      </w:rPr>
    </w:lvl>
    <w:lvl w:ilvl="7" w:tplc="B336A8B2" w:tentative="1">
      <w:start w:val="1"/>
      <w:numFmt w:val="bullet"/>
      <w:lvlText w:val="•"/>
      <w:lvlJc w:val="left"/>
      <w:pPr>
        <w:tabs>
          <w:tab w:val="num" w:pos="5400"/>
        </w:tabs>
        <w:ind w:left="5400" w:hanging="360"/>
      </w:pPr>
      <w:rPr>
        <w:rFonts w:ascii="Arial" w:hAnsi="Arial" w:hint="default"/>
      </w:rPr>
    </w:lvl>
    <w:lvl w:ilvl="8" w:tplc="3366368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52C3489"/>
    <w:multiLevelType w:val="hybridMultilevel"/>
    <w:tmpl w:val="C31A4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9F4A06"/>
    <w:multiLevelType w:val="hybridMultilevel"/>
    <w:tmpl w:val="F9EA3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5309630">
    <w:abstractNumId w:val="0"/>
  </w:num>
  <w:num w:numId="2" w16cid:durableId="617761340">
    <w:abstractNumId w:val="2"/>
  </w:num>
  <w:num w:numId="3" w16cid:durableId="153133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50"/>
    <w:rsid w:val="00392850"/>
    <w:rsid w:val="003A6FE9"/>
    <w:rsid w:val="004A3CAA"/>
    <w:rsid w:val="00B1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C338"/>
  <w15:chartTrackingRefBased/>
  <w15:docId w15:val="{70D324A2-8494-4FC8-9A16-719546B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50"/>
  </w:style>
  <w:style w:type="paragraph" w:styleId="Heading1">
    <w:name w:val="heading 1"/>
    <w:basedOn w:val="Normal"/>
    <w:next w:val="Normal"/>
    <w:link w:val="Heading1Char"/>
    <w:uiPriority w:val="9"/>
    <w:qFormat/>
    <w:rsid w:val="00B10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750"/>
    <w:rPr>
      <w:rFonts w:eastAsiaTheme="majorEastAsia" w:cstheme="majorBidi"/>
      <w:color w:val="272727" w:themeColor="text1" w:themeTint="D8"/>
    </w:rPr>
  </w:style>
  <w:style w:type="paragraph" w:styleId="Title">
    <w:name w:val="Title"/>
    <w:basedOn w:val="Normal"/>
    <w:next w:val="Normal"/>
    <w:link w:val="TitleChar"/>
    <w:uiPriority w:val="10"/>
    <w:qFormat/>
    <w:rsid w:val="00B10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750"/>
    <w:pPr>
      <w:spacing w:before="160"/>
      <w:jc w:val="center"/>
    </w:pPr>
    <w:rPr>
      <w:i/>
      <w:iCs/>
      <w:color w:val="404040" w:themeColor="text1" w:themeTint="BF"/>
    </w:rPr>
  </w:style>
  <w:style w:type="character" w:customStyle="1" w:styleId="QuoteChar">
    <w:name w:val="Quote Char"/>
    <w:basedOn w:val="DefaultParagraphFont"/>
    <w:link w:val="Quote"/>
    <w:uiPriority w:val="29"/>
    <w:rsid w:val="00B10750"/>
    <w:rPr>
      <w:i/>
      <w:iCs/>
      <w:color w:val="404040" w:themeColor="text1" w:themeTint="BF"/>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B10750"/>
    <w:pPr>
      <w:ind w:left="720"/>
      <w:contextualSpacing/>
    </w:pPr>
  </w:style>
  <w:style w:type="character" w:styleId="IntenseEmphasis">
    <w:name w:val="Intense Emphasis"/>
    <w:basedOn w:val="DefaultParagraphFont"/>
    <w:uiPriority w:val="21"/>
    <w:qFormat/>
    <w:rsid w:val="00B10750"/>
    <w:rPr>
      <w:i/>
      <w:iCs/>
      <w:color w:val="0F4761" w:themeColor="accent1" w:themeShade="BF"/>
    </w:rPr>
  </w:style>
  <w:style w:type="paragraph" w:styleId="IntenseQuote">
    <w:name w:val="Intense Quote"/>
    <w:basedOn w:val="Normal"/>
    <w:next w:val="Normal"/>
    <w:link w:val="IntenseQuoteChar"/>
    <w:uiPriority w:val="30"/>
    <w:qFormat/>
    <w:rsid w:val="00B10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750"/>
    <w:rPr>
      <w:i/>
      <w:iCs/>
      <w:color w:val="0F4761" w:themeColor="accent1" w:themeShade="BF"/>
    </w:rPr>
  </w:style>
  <w:style w:type="character" w:styleId="IntenseReference">
    <w:name w:val="Intense Reference"/>
    <w:basedOn w:val="DefaultParagraphFont"/>
    <w:uiPriority w:val="32"/>
    <w:qFormat/>
    <w:rsid w:val="00B10750"/>
    <w:rPr>
      <w:b/>
      <w:bCs/>
      <w:smallCaps/>
      <w:color w:val="0F4761" w:themeColor="accent1" w:themeShade="BF"/>
      <w:spacing w:val="5"/>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B10750"/>
  </w:style>
  <w:style w:type="character" w:customStyle="1" w:styleId="ui-provider">
    <w:name w:val="ui-provider"/>
    <w:basedOn w:val="DefaultParagraphFont"/>
    <w:rsid w:val="00B10750"/>
  </w:style>
  <w:style w:type="table" w:styleId="TableGrid">
    <w:name w:val="Table Grid"/>
    <w:basedOn w:val="TableNormal"/>
    <w:uiPriority w:val="59"/>
    <w:rsid w:val="00B10750"/>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10750"/>
  </w:style>
  <w:style w:type="paragraph" w:styleId="Header">
    <w:name w:val="header"/>
    <w:basedOn w:val="Normal"/>
    <w:link w:val="HeaderChar"/>
    <w:uiPriority w:val="99"/>
    <w:unhideWhenUsed/>
    <w:rsid w:val="00B10750"/>
    <w:pPr>
      <w:tabs>
        <w:tab w:val="center" w:pos="4680"/>
        <w:tab w:val="right" w:pos="9360"/>
      </w:tabs>
      <w:spacing w:after="0" w:line="240" w:lineRule="auto"/>
    </w:pPr>
  </w:style>
  <w:style w:type="character" w:customStyle="1" w:styleId="HeaderChar1">
    <w:name w:val="Header Char1"/>
    <w:basedOn w:val="DefaultParagraphFont"/>
    <w:uiPriority w:val="99"/>
    <w:semiHidden/>
    <w:rsid w:val="00B10750"/>
  </w:style>
  <w:style w:type="character" w:customStyle="1" w:styleId="FooterChar">
    <w:name w:val="Footer Char"/>
    <w:basedOn w:val="DefaultParagraphFont"/>
    <w:link w:val="Footer"/>
    <w:uiPriority w:val="99"/>
    <w:rsid w:val="00B10750"/>
  </w:style>
  <w:style w:type="paragraph" w:styleId="Footer">
    <w:name w:val="footer"/>
    <w:basedOn w:val="Normal"/>
    <w:link w:val="FooterChar"/>
    <w:uiPriority w:val="99"/>
    <w:unhideWhenUsed/>
    <w:rsid w:val="00B10750"/>
    <w:pPr>
      <w:tabs>
        <w:tab w:val="center" w:pos="4680"/>
        <w:tab w:val="right" w:pos="9360"/>
      </w:tabs>
      <w:spacing w:after="0" w:line="240" w:lineRule="auto"/>
    </w:pPr>
  </w:style>
  <w:style w:type="character" w:customStyle="1" w:styleId="FooterChar1">
    <w:name w:val="Footer Char1"/>
    <w:basedOn w:val="DefaultParagraphFont"/>
    <w:uiPriority w:val="99"/>
    <w:semiHidden/>
    <w:rsid w:val="00B10750"/>
  </w:style>
  <w:style w:type="character" w:customStyle="1" w:styleId="normaltextrun">
    <w:name w:val="normaltextrun"/>
    <w:basedOn w:val="DefaultParagraphFont"/>
    <w:rsid w:val="00B10750"/>
  </w:style>
  <w:style w:type="character" w:customStyle="1" w:styleId="eop">
    <w:name w:val="eop"/>
    <w:basedOn w:val="DefaultParagraphFont"/>
    <w:rsid w:val="00B1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1" ma:contentTypeDescription="Create a new document." ma:contentTypeScope="" ma:versionID="2bb0a9448472305109470d0286a1cec4">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a7f671288464bd8eb1a57a3e5dcd0e2e"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Archive"/>
          <xsd:enumeration value="Shared"/>
          <xsd:enumeration value="Disposal"/>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Props1.xml><?xml version="1.0" encoding="utf-8"?>
<ds:datastoreItem xmlns:ds="http://schemas.openxmlformats.org/officeDocument/2006/customXml" ds:itemID="{05C72D86-187A-478B-9FA1-36A883BDB3C9}"/>
</file>

<file path=customXml/itemProps2.xml><?xml version="1.0" encoding="utf-8"?>
<ds:datastoreItem xmlns:ds="http://schemas.openxmlformats.org/officeDocument/2006/customXml" ds:itemID="{AB6E178E-F5CA-4C7C-8AD5-10B8FAA84E58}"/>
</file>

<file path=customXml/itemProps3.xml><?xml version="1.0" encoding="utf-8"?>
<ds:datastoreItem xmlns:ds="http://schemas.openxmlformats.org/officeDocument/2006/customXml" ds:itemID="{CB152792-9DAA-4377-AD16-3C4777208C48}"/>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Devlin</dc:creator>
  <cp:keywords/>
  <dc:description/>
  <cp:lastModifiedBy>Eileen Devlin</cp:lastModifiedBy>
  <cp:revision>1</cp:revision>
  <dcterms:created xsi:type="dcterms:W3CDTF">2025-03-05T09:49:00Z</dcterms:created>
  <dcterms:modified xsi:type="dcterms:W3CDTF">2025-03-05T09:50:00Z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